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- komfort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trwałość</w:t>
      </w:r>
      <w:r>
        <w:rPr>
          <w:rFonts w:ascii="calibri" w:hAnsi="calibri" w:eastAsia="calibri" w:cs="calibri"/>
          <w:sz w:val="24"/>
          <w:szCs w:val="24"/>
        </w:rPr>
        <w:t xml:space="preserve"> – dodaje Rąba. Wybierając produkty paczkowane, klienci mają też możliwość samodzielnego sprawdzenia ich składu na etykiecie umieszczonej na opakowaniu, co nie zawsze jest możliwe w przypadku wyrobów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2025-10-15T15:09:49+02:00</dcterms:created>
  <dcterms:modified xsi:type="dcterms:W3CDTF">2025-10-15T15:09:49+02:00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