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wprowadzają system kafeteryjny MyBenefit dla swoich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Kania, jako wiodący producent na polskim rynku mięsnym, zatrudniają we wszystkich swoich zakładach ok. 2000 pracowników. Wielu z nich związanych jest z firmą od lat. Obecnie mogą korzystać z bogatej liczby świadczeń pozapłacowych, tj. np. nieoprocentowanych pożyczek, darmowych posiłków, dofinansowań do transportu do pracy, ubezpieczenia grupowego czy rabatów w sklepach firmowych.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jednak coraz bardziej atrakcyjnym pracodawcą, stąd też wprowadziliśmy właśnie system kafeteryjny Mybenefit </w:t>
      </w:r>
      <w:r>
        <w:rPr>
          <w:rFonts w:ascii="calibri" w:hAnsi="calibri" w:eastAsia="calibri" w:cs="calibri"/>
          <w:sz w:val="24"/>
          <w:szCs w:val="24"/>
        </w:rPr>
        <w:t xml:space="preserve">– mówi Dominika Rąba z zarządu Spółki.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Pracownicy są dla nas najwyższą wartością, ponieważ bez nich, nie bylibyśmy obecnie tu, gdzie jesteśmy. Dlatego też tak ważne jest ich docenianie, o co dbamy i co sukcesywnie staramy się rozwijać w naszej Spółce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MyBenefit to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usługi,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2025-10-15T15:04:54+02:00</dcterms:created>
  <dcterms:modified xsi:type="dcterms:W3CDTF">2025-10-15T15:04:54+02:00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